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ądzenia nr 28 Rektora ASP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 dnia 13 maja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r.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05" w:dyaOrig="1491">
          <v:rect xmlns:o="urn:schemas-microsoft-com:office:office" xmlns:v="urn:schemas-microsoft-com:vml" id="rectole0000000000" style="width:105.250000pt;height:7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KIERUNKU STUDIÓW</w:t>
        <w:tab/>
      </w:r>
    </w:p>
    <w:p>
      <w:pPr>
        <w:numPr>
          <w:ilvl w:val="0"/>
          <w:numId w:val="6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DANE PODSTAWOWE: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 KIERUNKU STUDIÓW: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MALARSTWO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KLASYFIKACJA ISCED: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0213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DYSCYPLINA ARTYSTYCZNA: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sztuki plastyczne i konserwacja dzie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ł sztuki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POZIOM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jednolite studia magisterskie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PROFIL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ólnoakademicki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ĘZYK WYKŁADOWY: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polski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PRZEWIDYWANE PRAKTYKI: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ĄZEK KIERUNKU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ZE STRATEGI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UCZELNI: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Istnieje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ązek kierunku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ze strategi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rozwoju, w tym misją Uczelni: Misja Wydziału Malarstwa jest skorelowana z misją Akademii Sztuk Pięknych im. Jana Matejki w Krakowie,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brzmi: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Akademia Sztuk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ęknych im. Jana Matejki w Krakowie dąży do tego, by być nowoczesną uczelnią artystyczną, miejscem rozwoju wybitnych talent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ów”.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Malarstwa świadomy swojej spuścizny i tradycji, będąc jednocześnie otwartym na wszelkie wyzwania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łczesności, misję swą realizuje poprzez: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łcenie, wychowywanie i kształtowanie u student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postawy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ści, rozwijanie ich osobowości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órczych w duchu humanizmu, tolerancji, prawdy i wolno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w zgodzie z zasadami sztuki i nauki;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poszukiwania twórcze i prowadzenie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w ramach prowadzonych specjalności, inspirowanie zamierzeń w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artystycznej i utrwalanie wielorakości postaw artystycznych;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inicjowanie i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łpracy z innymi uczelniami i ośrodkami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órczymi.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Celem strategii jest wskazanie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żądanych kierunk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rozwoju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łu. Podstawowym celem strategicznym Wydziału jest ciągłe podnoszenie jakości i doskonalenie form kształcenia poprzez formułowanie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metod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łużących wszechstronnemu rozwojowi osobowości młodych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órców. Ponadto istotnym celem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jest udział w rozwoju nowych form sztuki poprzez powoływanie oraz nieustający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ój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istniejących form kształcenia.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OGÓLNE CELE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 ORAZ SYLWETKA ABSOLWENTA: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Koncepcja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 na Wydziale Malarstwa Akademii Sztuk Pięknych im. Jana Matejki w Krakowie jest swoistego rodzaju zespoleniem szeregu wartości komplementarnych wzajemnie się napędzających jakimi są wiedza, doświadczenie, tradycja i nowoczesność. Na fundamencie ich wzajemnych interakcji realizowany jest proces dydaktyczny kształtujący zakres kompetencji społecznych, wiedzy i umiejętności artystycznie uzdolnionej młodzieży studiującej na naszym Wydziale. Program kształcenia na Wydziale Malarstwa, wypełniając powyższe założenia, realizuje swą misję i strategię Wydziału, koncentrując się nie tylko na ugruntowaniu w młodzieży studiującej kompetencji niezbędnych dla świadomego,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órczego, odpowiedzialnego uczestnictwa w kulturze poprzez sztuk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ę, ale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na tym aby to ugruntowanie, i zdobyta świadomość była należycie ukierunkowana, aby jej wartości etyczne i moralne służyły dobru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ólnemu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łych pokoleń. System kształcenia Wydziału Malarstwa to dbałość o najwyższy poziom profesjonalizmu artystycznego student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 rozbudzanie skłonności do transcendowania własnych możliwości w duchu odpowiedzialności i zasad człowieczeństwa. Wiedza, umiejętności i kompetencje niezbędne dla wypełnienia powyższych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wskazane i opisane w kierunkowych efektach kształcenia przyjętych przez Wydział Malarstwa ASP w Krakowie w 2012 roku.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ólna koncepcja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 oraz program i metody realizacji są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ójne z Misj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strategiczną ASP im. Jana Matejki w Krakowie. Absolwent jest przygotowany do podjęcia samodzielnej i profesjonalnej działalności artystycznej, do posługiwania się technologiami tradycyjnymi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łczesnymi środkami przekazu artystycznego oraz posiada wiedzę teoretyczną i praktyczną w zakresie swojej dyscypliny. Posiada rozwiniętą umiejętność przygotowania i prowadzenia badań naukowych w zakresie studiowanej dyscypliny oraz dyscyplin pokrewnych poprzez m.in. udział w nich. Jako świadomy uczestnik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łczesnej kultury łączy wiedzę humanistyczną z doświadczeniem artystycznym poprzez własną działalność, refleksyjny stosunek do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żnorodnych form i przejaw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łczesnej kultury oraz posiada zdolność analizy zjawisk w obszarze sztuki, umiejętność wypowiadania się o malarstwie i sztukach wizualnych w ujęciu historycznym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łczesnym. Zna i rozumie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łczesne media oraz posiada wiedzę o ich funkcji i znaczeniu w sztuce i kulturze.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Absolwent realizuje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ówno w klasycznym warsztacie, jak i w nowych technologiach i metodach pracy. Zna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ęzyk obcy na poziomie biegłości B2 Europejskiego Systemu Opisu Kształcenia Językowego Rady Europy.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510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WSKAZANIE POTRZEB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ŁECZNO-GOSPODARCZYCH ISTNIENIA KIERUNKU KSZTAŁCENIA ORAZ ZGODNOŚCI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Z TYMI POTRZEBAMI: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Cele i efekty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dla jednolitych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magisterskich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 krajowych ram kwalifikacji zostały przygotowane przez 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Zapewnienia Jakości Kształcenia i wprowadzone od roku akademickiego 2012/2013. Efekty uczenia się określone na Wydziale Malarstwa pozostają w zgodzie z misją i strategią rozwoju Uczelni. Analiza zgodności przyjętych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 monitorowana jest przez WKZJK,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dba o nieustaj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podnoszenie poziomu kształcenia poprzez dostosowanie jego kształtu do zmieniających się reali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wymogów rynku pracy.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80808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Studenci i studentki na kierunku Malarstwo zyskuj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kompetencje do samodzielnej aktywności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órczej jako arty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i artystki, otrzymując szeroki zakres umiejętności i wiedzy umożliwiającej dalszy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ój 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świadome uczestnictwo w świecie sztuki w Polsce i za granicą. Absolwenci kierunku Malarstwo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łtworzą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łczesny pejzaż polskiej kultury, a także reprezentują ją poza granicami kraju.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WYMAGANIA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przyjęcia na jednolite studia magisterskie oraz studia pierwszego stopnia w ASP w Krakowie stanowią wyniki egzaminu wstępnego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którzy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świadectwo dojrzałości uprawniające do ubiegania się o przyjęcie na studia w szkołach wyższych.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REKRUTACJA: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Kandydatów na studia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ązuje trzy etapowy egzamin wstępny.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Etap I: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 i ocena prac (teczka)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Etap II: egzamin praktyczny (malarstwo, rysunek, kompozycja malarska na zadany temat)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Etap III: egzamin teoretyczny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rekrutacji oraz ewentualne zmiany co do sposobu przeprowadzania egzamin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ępnych określane i zatwierdzane są corocznie uchwałą Senatu. </w:t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PROGRAM STUDIÓW: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Forma studiów: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studia stacjonarne</w:t>
      </w: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semestrów: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punktów ECTS konieczna do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ńczenia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 danym poziomie: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303 pkt</w:t>
      </w:r>
    </w:p>
    <w:p>
      <w:pPr>
        <w:numPr>
          <w:ilvl w:val="0"/>
          <w:numId w:val="44"/>
        </w:numPr>
        <w:spacing w:before="0" w:after="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zawodowy nadawany absolwentom: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magister</w:t>
      </w: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ęcia lub grupy zajęć, niezależnie od formy ich prowadzenia, wraz z przypisaniem do nich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treści programowych zapewniających uzyskanie tych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ECTS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wg pkt IV</w:t>
      </w: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Łączna liczbę godzin zajęć: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4906 godzin</w:t>
      </w:r>
    </w:p>
    <w:p>
      <w:pPr>
        <w:numPr>
          <w:ilvl w:val="0"/>
          <w:numId w:val="44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Sposoby weryfikacji i oceny efektów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osiągniętych przez studenta w trakcie całego cyklu kształcenia: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okresowe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ądy pracowniane,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semestralne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ądy pracowniane,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ówienie realizacji programów pracowni,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pracowniany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 końcoworoczny,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wystawa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ńcoworoczna,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ńcoworoczny przegląd wydziałowy,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omówienie uzyskanych rezultatów,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konsultacja zbiorowa,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egzaminy,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zaliczenia</w:t>
      </w:r>
    </w:p>
    <w:p>
      <w:pPr>
        <w:numPr>
          <w:ilvl w:val="0"/>
          <w:numId w:val="48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Łączna liczba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ECTS,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student musi uzyskać w ramach zajęć prowadzonych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średnim udziałem nauczycieli akademickich lub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zajęcia: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163 pkt</w:t>
      </w:r>
    </w:p>
    <w:p>
      <w:pPr>
        <w:numPr>
          <w:ilvl w:val="0"/>
          <w:numId w:val="48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punktów ECTS,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student musi uzyskać w ramach zajęć z dziedziny nauk humanistycznych lub nauk społecznych (minimum 5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ECTS):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26 pkt</w:t>
      </w:r>
    </w:p>
    <w:p>
      <w:pPr>
        <w:numPr>
          <w:ilvl w:val="0"/>
          <w:numId w:val="48"/>
        </w:numPr>
        <w:spacing w:before="0" w:after="0" w:line="276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punktów ECTS,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student musi uzyskać w ramach zajęć z języka obcego: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 pkt</w:t>
      </w:r>
    </w:p>
    <w:p>
      <w:pPr>
        <w:numPr>
          <w:ilvl w:val="0"/>
          <w:numId w:val="48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Wymiar, zasady i forma odbywania praktyk: nie dotyczy</w:t>
      </w:r>
    </w:p>
    <w:p>
      <w:pPr>
        <w:numPr>
          <w:ilvl w:val="0"/>
          <w:numId w:val="48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Łączna liczba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ECTS, któr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student musi uzyskać w ramach praktyk: nie dotyczy </w:t>
      </w:r>
    </w:p>
    <w:p>
      <w:pPr>
        <w:numPr>
          <w:ilvl w:val="0"/>
          <w:numId w:val="48"/>
        </w:numPr>
        <w:spacing w:before="0" w:after="200" w:line="276"/>
        <w:ind w:right="0" w:left="567" w:hanging="4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Dodatkowe informacje:  Proces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łcenia na kierunku Malarstwo zakłada zapewnienie rozwoju artystycznego, uwzględniającego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ówno techniki malarskie, rysunkowe i multimedialne, jak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samodzielne podejmowanie zadań i projekt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artystycznych oraz rozwój wiedzy z zakresu historii sztuki, filozofii, estetyki, socjologii oraz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ętności prezentacji i dokumentacji własnego dorobku. Udział student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doktorantów w badaniach naukowych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poprzez pracę praktyczną z martwą naturą, aktem oraz własną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artystyczną, oraz poprzez uczestnictwo w organizowanych przez pedagog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Malarstwa wydarzeniach artystycznych, wystawach, projektach o zasięgu krajowych i międzynarodowym oraz w ramach pracy badawczej Platformy Badań Artystycznych powołanej przez Wydział Malarstwa zespalającej i odnajdującej w swej idei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obszary sztuki i nauki. Wydarzeniom artystycznym towarzysz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publikacje Wydawnictwa ASP w Krakowie w formie katalog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folderów, plakatów, dokumentacje fotograficzne, informacje i teksty prezentowane w Internecie 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ściach ASP”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Zeszytach Malarstwa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druki finansowane przez zewnętrzne instytucje kulturalne.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851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851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ĘTRZNY SYSTEM ZAPEWNIENIA JAKOŚCI KSZTAŁCENIA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(podstawowe informacje na temat struktury, systematyki i zakresu działań):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ętrzny wydziałowy system zapewniania jakości kształcenia realizowany jest w następujący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ób: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okresowe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ądy pracowniane,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semestralne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ądy pracowniane,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ówienie realizacji programów pracowni,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pracowniany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 końcoworoczny,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wystawa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ńcoworoczna,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ńcoworoczny przegląd wydziałowy,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omówienie uzyskanych rezultatów,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konsultacja zbiorowa,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coroczne pisemne sprawozdanie z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artystycznej, naukowej i dydaktycznej (Ankieta pedagoga), składane przez wszystkich nauczycieli akademickich Dziekanowi WM, stanowiące podstawę okresowej oceny nauczycieli akademickich. Przy dokonywaniu oceny bierze się pod uwagę ocenę student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doktorantów, 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średniego przełożonego i kierownika jednostki organizacyjnej. Ważnym elementem korzystnie oddziałującym na jakość kształcenia jest - wpisane w strategię Wydziału - zachowanie praktykowanej na wszystkich poziomach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relacji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ń”, oraz możliwości świadomego budowania przez studenta indywidualnego programu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 grupie specjalistycznych przedmiotów kierunkowych. Sprzyja to utrwalaniu i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łemu doskonaleniu dobrych praktyk związanych z jakością kształcenia, wysokim poziomem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funkcjonowaniem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Malarstwa.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monitorowania kariery zawodowej absolwentów realizowany jest poprzez informowanie i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łaszanie absolwent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do konkursów, stypendiów, wystaw oraz wszelkich innych form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aktywności artystycznej oraz refleksji nad nią. Program studi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oparty w szerokim zakresie o elementy kreacji studenta, skutkuje elastycznym dostosowywaniem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do wymagań rzeczywistości poza uczelnianej oraz stosunkowo bezproblemowym odnajdywaniem się absolwent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 tzw. rynku pracy.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98"/>
        <w:gridCol w:w="708"/>
        <w:gridCol w:w="851"/>
        <w:gridCol w:w="849"/>
        <w:gridCol w:w="851"/>
        <w:gridCol w:w="709"/>
        <w:gridCol w:w="700"/>
        <w:gridCol w:w="717"/>
        <w:gridCol w:w="567"/>
        <w:gridCol w:w="707"/>
        <w:gridCol w:w="1561"/>
        <w:gridCol w:w="494"/>
      </w:tblGrid>
      <w:tr>
        <w:trPr>
          <w:trHeight w:val="66" w:hRule="auto"/>
          <w:jc w:val="left"/>
        </w:trPr>
        <w:tc>
          <w:tcPr>
            <w:tcW w:w="9212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PRZEDMIOTY DO ZREALIZOWANIA PODCZAS STUDIÓW WRAZ Z ODNIESIENIEM DO KIERUNKOWYCH EFEKTÓW UCZENIA 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Ę</w:t>
              <w:br/>
              <w:t xml:space="preserve">ORAZ LICZBĄ PUNKT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ÓW ECTS:</w:t>
            </w:r>
          </w:p>
        </w:tc>
      </w:tr>
      <w:tr>
        <w:trPr>
          <w:trHeight w:val="300" w:hRule="auto"/>
          <w:jc w:val="left"/>
        </w:trPr>
        <w:tc>
          <w:tcPr>
            <w:tcW w:w="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30" w:hRule="auto"/>
          <w:jc w:val="left"/>
          <w:cantSplit w:val="1"/>
        </w:trPr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GRUPA PRZEDMIOTÓW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ŚCI PROGRAMOWE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PRZEDMIOT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ODNIESIENIE DO KIERUNKOWYCH EFEKTÓW UCZENIA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SPOSÓB WERYFIKACJI EFEKTÓW UCZENIA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PUNKTY ECTS DLA PRZEDMIOTU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LICZBA GODZIN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ĘĆ (W., ĆW.,)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METODY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ŁCENIA****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LICZBA GODZIN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ĘĆ Z BEZPOŚREDNIM UDZIAŁEM NAUCZYCIELA AKADEMICKIEGO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ODNIESIENIE DO PROWADZONYCH PRZEZ WYDZIA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 BADAŃ NAUKOWYCH W DYSCYPLINIE SZTUKI PLASTYCZNE I KONSERWACJA DZIEŁ DZTUKI (BN)/ ODNIESIENIE DO PRAKTYCZNEGO PRZYGOTOWANIA ZAWODOWEGO (PZ)*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KOD PRZEDMIOTU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PODSTAWOWE</w:t>
            </w:r>
          </w:p>
        </w:tc>
        <w:tc>
          <w:tcPr>
            <w:tcW w:w="70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dla grupy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KIERUNKOWE</w:t>
            </w:r>
          </w:p>
        </w:tc>
        <w:tc>
          <w:tcPr>
            <w:tcW w:w="70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dla grupy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DO WYBORU**</w:t>
            </w:r>
          </w:p>
        </w:tc>
        <w:tc>
          <w:tcPr>
            <w:tcW w:w="70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dla grupy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INNE***</w:t>
            </w:r>
          </w:p>
        </w:tc>
        <w:tc>
          <w:tcPr>
            <w:tcW w:w="70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49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dla grupy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9" w:hRule="auto"/>
          <w:jc w:val="left"/>
        </w:trPr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 dla studiów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808080" w:fill="auto" w:val="pct7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020" w:hRule="auto"/>
          <w:jc w:val="left"/>
        </w:trPr>
        <w:tc>
          <w:tcPr>
            <w:tcW w:w="9212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*(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BN)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program studiów dla kierunku 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profilu ogólnoakademickim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obejmuje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ęcia związane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 prowadzon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ą </w:t>
              <w:br/>
              <w:t xml:space="preserve">w uczelni działalnością naukową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 dyscyplinie sztuki plastyczne i konserwacja dzieł sztuki,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órym przypisano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punkty ECTS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w wymiarze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ększym niż 50% liczby punkt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ów ECTS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koniecznej do uko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ńczenia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danym poziomie i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ędnia udział student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ęciach przygotowujących do prowadzenia działalności naukowej lub udział w tej działalności/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(PZ)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program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dla kierunku 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profilu praktycznym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obejmuje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ęcia kształtujące umiejętności praktyczne w wymiarze większym niż 50 % liczby punkt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ów ECTS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koniecznej do uko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ńczenia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danym poziomie.</w:t>
            </w:r>
          </w:p>
        </w:tc>
      </w:tr>
      <w:tr>
        <w:trPr>
          <w:trHeight w:val="540" w:hRule="auto"/>
          <w:jc w:val="left"/>
        </w:trPr>
        <w:tc>
          <w:tcPr>
            <w:tcW w:w="9212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** Program studiów powinien umo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żliwiać studentowi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wyb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ęć,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órym przypisano punkty ECTS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w wymiarze nie mniejszym 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ż 30% liczby punkt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ów ECTS koniecznych do uko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ńczenia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ów na danym poziomie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że dotyczyć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 wyboru pracowni o tej samej nazwie, ale oferującej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żne programy.</w:t>
            </w:r>
          </w:p>
        </w:tc>
      </w:tr>
      <w:tr>
        <w:trPr>
          <w:trHeight w:val="300" w:hRule="auto"/>
          <w:jc w:val="left"/>
        </w:trPr>
        <w:tc>
          <w:tcPr>
            <w:tcW w:w="9212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*** Dla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ęć z obszar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nauk humanistycznych lub nauk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łecznych wymiar nie mniejszy niż 5 pkt ECTS.</w:t>
            </w:r>
          </w:p>
        </w:tc>
      </w:tr>
      <w:tr>
        <w:trPr>
          <w:trHeight w:val="80" w:hRule="auto"/>
          <w:jc w:val="left"/>
        </w:trPr>
        <w:tc>
          <w:tcPr>
            <w:tcW w:w="9212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**** Zapewniaj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ące osiągnięcie 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uczenia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41">
    <w:abstractNumId w:val="24"/>
  </w:num>
  <w:num w:numId="44">
    <w:abstractNumId w:val="18"/>
  </w:num>
  <w:num w:numId="48">
    <w:abstractNumId w:val="12"/>
  </w:num>
  <w:num w:numId="53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